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0EC88" w14:textId="77777777" w:rsidR="00932E83" w:rsidRDefault="00932E83" w:rsidP="00932E83">
      <w:pPr>
        <w:pStyle w:val="TYTUAKTUprzedmiotregulacjiustawylubrozporzdzenia"/>
        <w:rPr>
          <w:lang w:eastAsia="en-US"/>
        </w:rPr>
      </w:pPr>
      <w:bookmarkStart w:id="0" w:name="_GoBack"/>
      <w:bookmarkEnd w:id="0"/>
      <w:r w:rsidRPr="00932E83">
        <w:rPr>
          <w:lang w:eastAsia="en-US"/>
        </w:rPr>
        <w:t>ROZPORZĄDZENIE</w:t>
      </w:r>
    </w:p>
    <w:p w14:paraId="326EE3C4" w14:textId="77777777" w:rsidR="00932E83" w:rsidRPr="00932E83" w:rsidRDefault="00932E83" w:rsidP="00932E83">
      <w:pPr>
        <w:pStyle w:val="TYTUAKTUprzedmiotregulacjiustawylubrozporzdzenia"/>
        <w:rPr>
          <w:lang w:eastAsia="en-US"/>
        </w:rPr>
      </w:pPr>
      <w:r w:rsidRPr="00932E83">
        <w:rPr>
          <w:lang w:eastAsia="en-US"/>
        </w:rPr>
        <w:t>PREZESA RADY MINISTRÓW</w:t>
      </w:r>
    </w:p>
    <w:p w14:paraId="63249F2E" w14:textId="77777777" w:rsidR="00932E83" w:rsidRPr="00932E83" w:rsidRDefault="00932E83" w:rsidP="00932E83">
      <w:pPr>
        <w:pStyle w:val="DATAAKTUdatauchwalenialubwydaniaaktu"/>
        <w:rPr>
          <w:lang w:eastAsia="en-US"/>
        </w:rPr>
      </w:pPr>
      <w:r w:rsidRPr="00932E83">
        <w:rPr>
          <w:lang w:eastAsia="en-US"/>
        </w:rPr>
        <w:t>z dnia ………. r.</w:t>
      </w:r>
    </w:p>
    <w:p w14:paraId="0EFBA4C5" w14:textId="77777777" w:rsidR="00932E83" w:rsidRPr="00932E83" w:rsidRDefault="00932E83" w:rsidP="00932E83">
      <w:pPr>
        <w:pStyle w:val="TYTUAKTUprzedmiotregulacjiustawylubrozporzdzenia"/>
        <w:rPr>
          <w:lang w:eastAsia="en-US"/>
        </w:rPr>
      </w:pPr>
      <w:r w:rsidRPr="00932E83">
        <w:rPr>
          <w:lang w:eastAsia="en-US"/>
        </w:rPr>
        <w:t>w sprawie opłat i wpłat na pokrycie kosztów nadzoru nad rynkiem kryptoaktywów</w:t>
      </w:r>
    </w:p>
    <w:p w14:paraId="66ECD31C" w14:textId="77777777" w:rsidR="00932E83" w:rsidRPr="00932E83" w:rsidRDefault="00932E83" w:rsidP="00932E83">
      <w:pPr>
        <w:rPr>
          <w:lang w:eastAsia="en-US"/>
        </w:rPr>
      </w:pPr>
    </w:p>
    <w:p w14:paraId="266BC632" w14:textId="77777777" w:rsidR="00932E83" w:rsidRPr="00932E83" w:rsidRDefault="00932E83" w:rsidP="00932E83">
      <w:pPr>
        <w:pStyle w:val="NIEARTTEKSTtekstnieartykuowanynppodstprawnarozplubpreambua"/>
        <w:rPr>
          <w:lang w:eastAsia="en-US"/>
        </w:rPr>
      </w:pPr>
      <w:r w:rsidRPr="00932E83">
        <w:rPr>
          <w:lang w:eastAsia="en-US"/>
        </w:rPr>
        <w:t>Na podstawie art. 84 ustawy z dnia ….. o rynku kryptoaktywów (Dz. U. ….) zarządza się, co następuje:</w:t>
      </w:r>
    </w:p>
    <w:p w14:paraId="0F9F2AA8" w14:textId="77777777" w:rsidR="00932E83" w:rsidRPr="00932E83" w:rsidRDefault="00932E83" w:rsidP="00932E83">
      <w:pPr>
        <w:pStyle w:val="ARTartustawynprozporzdzenia"/>
        <w:rPr>
          <w:lang w:eastAsia="en-US"/>
        </w:rPr>
      </w:pPr>
      <w:r w:rsidRPr="00932E83">
        <w:rPr>
          <w:lang w:eastAsia="en-US"/>
        </w:rPr>
        <w:t xml:space="preserve">§ 1. Rozporządzenie określa: </w:t>
      </w:r>
    </w:p>
    <w:p w14:paraId="6834353D" w14:textId="77777777" w:rsidR="00932E83" w:rsidRPr="00932E83" w:rsidRDefault="00932E83" w:rsidP="00932E83">
      <w:pPr>
        <w:pStyle w:val="PKTpunkt"/>
        <w:rPr>
          <w:lang w:eastAsia="en-US"/>
        </w:rPr>
      </w:pPr>
      <w:r w:rsidRPr="00932E83">
        <w:rPr>
          <w:lang w:eastAsia="en-US"/>
        </w:rPr>
        <w:t>1)</w:t>
      </w:r>
      <w:r>
        <w:tab/>
      </w:r>
      <w:r w:rsidRPr="00932E83">
        <w:rPr>
          <w:lang w:eastAsia="en-US"/>
        </w:rPr>
        <w:t>wysokość i terminy uiszczania opłat, o których mowa w art. 80 ust. 1 pkt 1 i ust. 2 ustawy z dnia ….. o rynku kryptoaktywów, zwanej dalej „ustawą”;</w:t>
      </w:r>
    </w:p>
    <w:p w14:paraId="35EB4691" w14:textId="77777777" w:rsidR="00932E83" w:rsidRPr="00932E83" w:rsidRDefault="00932E83" w:rsidP="00932E83">
      <w:pPr>
        <w:pStyle w:val="PKTpunkt"/>
        <w:rPr>
          <w:lang w:eastAsia="en-US"/>
        </w:rPr>
      </w:pPr>
      <w:r w:rsidRPr="00932E83">
        <w:rPr>
          <w:lang w:eastAsia="en-US"/>
        </w:rPr>
        <w:t>2)</w:t>
      </w:r>
      <w:r>
        <w:tab/>
      </w:r>
      <w:r w:rsidRPr="00932E83">
        <w:rPr>
          <w:lang w:eastAsia="en-US"/>
        </w:rPr>
        <w:t>terminy uiszczania opłat, o których mowa w art. 80 ust. 1 pkt 2 i 3;</w:t>
      </w:r>
    </w:p>
    <w:p w14:paraId="1DFF079D" w14:textId="77777777" w:rsidR="00932E83" w:rsidRPr="00932E83" w:rsidRDefault="00932E83" w:rsidP="00932E83">
      <w:pPr>
        <w:pStyle w:val="PKTpunkt"/>
        <w:rPr>
          <w:lang w:eastAsia="en-US"/>
        </w:rPr>
      </w:pPr>
      <w:r w:rsidRPr="00932E83">
        <w:rPr>
          <w:lang w:eastAsia="en-US"/>
        </w:rPr>
        <w:t>3)</w:t>
      </w:r>
      <w:r>
        <w:tab/>
      </w:r>
      <w:r w:rsidRPr="00932E83">
        <w:rPr>
          <w:lang w:eastAsia="en-US"/>
        </w:rPr>
        <w:t xml:space="preserve">sposób wyliczania wpłat, o których mowa w art. 81 ust. 1 i art. 82 ust. 1, w tym sposób ustalania podziału kosztów nadzoru nad rynkiem kryptoaktywów na koszty pokrywane z </w:t>
      </w:r>
      <w:r w:rsidRPr="00932E83">
        <w:rPr>
          <w:lang w:eastAsia="en-US"/>
        </w:rPr>
        <w:lastRenderedPageBreak/>
        <w:t>wpłat, o których mowa w art. 81 ust. 1 i wpłat, o których mowa w art. 82 ust. 1, oraz terminy uiszczania tych wpłat;</w:t>
      </w:r>
    </w:p>
    <w:p w14:paraId="5BD3CAD4" w14:textId="77777777" w:rsidR="00932E83" w:rsidRPr="00932E83" w:rsidRDefault="00932E83" w:rsidP="00932E83">
      <w:pPr>
        <w:pStyle w:val="PKTpunkt"/>
        <w:rPr>
          <w:lang w:eastAsia="en-US"/>
        </w:rPr>
      </w:pPr>
      <w:r w:rsidRPr="00932E83">
        <w:rPr>
          <w:lang w:eastAsia="en-US"/>
        </w:rPr>
        <w:t>4)</w:t>
      </w:r>
      <w:r>
        <w:tab/>
      </w:r>
      <w:r w:rsidRPr="00932E83">
        <w:rPr>
          <w:lang w:eastAsia="en-US"/>
        </w:rPr>
        <w:t>terminy przekazywania deklaracji, o których mowa w art. 81 ust. 7 i art. 82 ust. 4.</w:t>
      </w:r>
    </w:p>
    <w:p w14:paraId="67191B14" w14:textId="77777777" w:rsidR="00932E83" w:rsidRPr="00932E83" w:rsidRDefault="00932E83" w:rsidP="00932E83">
      <w:pPr>
        <w:pStyle w:val="ARTartustawynprozporzdzenia"/>
        <w:rPr>
          <w:lang w:eastAsia="en-US"/>
        </w:rPr>
      </w:pPr>
      <w:r w:rsidRPr="00932E83">
        <w:rPr>
          <w:lang w:eastAsia="en-US"/>
        </w:rPr>
        <w:t>§ 2. 1. Wysokość opłaty, o której mowa w art. 80:</w:t>
      </w:r>
    </w:p>
    <w:p w14:paraId="4930B5F7" w14:textId="77777777" w:rsidR="00932E83" w:rsidRPr="00932E83" w:rsidRDefault="00932E83" w:rsidP="00932E83">
      <w:pPr>
        <w:pStyle w:val="PKTpunkt"/>
        <w:rPr>
          <w:lang w:eastAsia="en-US"/>
        </w:rPr>
      </w:pPr>
      <w:r>
        <w:t>1)</w:t>
      </w:r>
      <w:r>
        <w:tab/>
      </w:r>
      <w:r w:rsidRPr="00932E83">
        <w:rPr>
          <w:lang w:eastAsia="en-US"/>
        </w:rPr>
        <w:t>ust. 1 pkt 1 ustawy – wynosi równowartość w złotych 4500 euro;</w:t>
      </w:r>
    </w:p>
    <w:p w14:paraId="6CC1AD8E" w14:textId="77777777" w:rsidR="00932E83" w:rsidRPr="00932E83" w:rsidRDefault="00932E83" w:rsidP="00932E83">
      <w:pPr>
        <w:pStyle w:val="PKTpunkt"/>
        <w:rPr>
          <w:lang w:eastAsia="en-US"/>
        </w:rPr>
      </w:pPr>
      <w:r>
        <w:t>2)</w:t>
      </w:r>
      <w:r>
        <w:tab/>
      </w:r>
      <w:r w:rsidRPr="00932E83">
        <w:rPr>
          <w:lang w:eastAsia="en-US"/>
        </w:rPr>
        <w:t>ust. 2 ustawy – wynosi równowartość w złotych 4500 euro.</w:t>
      </w:r>
    </w:p>
    <w:p w14:paraId="5D2BFED8" w14:textId="77777777" w:rsidR="00932E83" w:rsidRPr="00932E83" w:rsidRDefault="00932E83" w:rsidP="00932E83">
      <w:pPr>
        <w:pStyle w:val="USTustnpkodeksu"/>
        <w:rPr>
          <w:lang w:eastAsia="en-US"/>
        </w:rPr>
      </w:pPr>
      <w:r w:rsidRPr="00932E83">
        <w:rPr>
          <w:lang w:eastAsia="en-US"/>
        </w:rPr>
        <w:t>2. Opłatę, o której mowa w ust. 1:</w:t>
      </w:r>
    </w:p>
    <w:p w14:paraId="7BDC91C9" w14:textId="77777777" w:rsidR="00932E83" w:rsidRPr="00932E83" w:rsidRDefault="00932E83" w:rsidP="00932E83">
      <w:pPr>
        <w:pStyle w:val="PKTpunkt"/>
        <w:rPr>
          <w:lang w:eastAsia="en-US"/>
        </w:rPr>
      </w:pPr>
      <w:r w:rsidRPr="00932E83">
        <w:rPr>
          <w:lang w:eastAsia="en-US"/>
        </w:rPr>
        <w:t>1)</w:t>
      </w:r>
      <w:r>
        <w:tab/>
      </w:r>
      <w:r w:rsidRPr="00932E83">
        <w:rPr>
          <w:lang w:eastAsia="en-US"/>
        </w:rPr>
        <w:t>pkt 1 – wnosi się w terminie 14 dni od dnia udzielenia zezwolenia podlegającego tej opłacie;</w:t>
      </w:r>
    </w:p>
    <w:p w14:paraId="57D1CCBF" w14:textId="77777777" w:rsidR="00932E83" w:rsidRPr="00932E83" w:rsidRDefault="00932E83" w:rsidP="00932E83">
      <w:pPr>
        <w:pStyle w:val="PKTpunkt"/>
        <w:rPr>
          <w:lang w:eastAsia="en-US"/>
        </w:rPr>
      </w:pPr>
      <w:r w:rsidRPr="00932E83">
        <w:rPr>
          <w:lang w:eastAsia="en-US"/>
        </w:rPr>
        <w:t>2)</w:t>
      </w:r>
      <w:r>
        <w:tab/>
      </w:r>
      <w:r w:rsidRPr="00932E83">
        <w:rPr>
          <w:lang w:eastAsia="en-US"/>
        </w:rPr>
        <w:t>pkt 2 – wnosi się w terminie 14 dni od dnia dokonania oceny podlegającej tej opłacie.</w:t>
      </w:r>
    </w:p>
    <w:p w14:paraId="26A897A0" w14:textId="77777777" w:rsidR="00932E83" w:rsidRPr="00932E83" w:rsidRDefault="00932E83" w:rsidP="00932E83">
      <w:pPr>
        <w:pStyle w:val="ARTartustawynprozporzdzenia"/>
        <w:rPr>
          <w:lang w:eastAsia="en-US"/>
        </w:rPr>
      </w:pPr>
      <w:r w:rsidRPr="00932E83">
        <w:rPr>
          <w:lang w:eastAsia="en-US"/>
        </w:rPr>
        <w:t>§ 3. Opłaty, o których mowa w art. 80 ust. 1:</w:t>
      </w:r>
    </w:p>
    <w:p w14:paraId="2CCD9F9B" w14:textId="77777777" w:rsidR="00932E83" w:rsidRPr="00932E83" w:rsidRDefault="00932E83" w:rsidP="00932E83">
      <w:pPr>
        <w:pStyle w:val="PKTpunkt"/>
        <w:rPr>
          <w:lang w:eastAsia="en-US"/>
        </w:rPr>
      </w:pPr>
      <w:r>
        <w:t>1)</w:t>
      </w:r>
      <w:r>
        <w:tab/>
      </w:r>
      <w:r w:rsidRPr="00932E83">
        <w:rPr>
          <w:lang w:eastAsia="en-US"/>
        </w:rPr>
        <w:t>pkt 2 ustawy – wnosi się w terminie 14 dni od dnia zatwierdzenia, które podlega tej opłacie;</w:t>
      </w:r>
    </w:p>
    <w:p w14:paraId="6770C5E9" w14:textId="77777777" w:rsidR="00932E83" w:rsidRPr="00932E83" w:rsidRDefault="00932E83" w:rsidP="00932E83">
      <w:pPr>
        <w:pStyle w:val="PKTpunkt"/>
        <w:rPr>
          <w:lang w:eastAsia="en-US"/>
        </w:rPr>
      </w:pPr>
      <w:r>
        <w:t>2)</w:t>
      </w:r>
      <w:r>
        <w:tab/>
      </w:r>
      <w:r w:rsidRPr="00932E83">
        <w:rPr>
          <w:lang w:eastAsia="en-US"/>
        </w:rPr>
        <w:t>pkt 3 ustawy – wnosi się w terminie 14 dni od dnia doręczenia wezwania do wniesienia opłaty.</w:t>
      </w:r>
    </w:p>
    <w:p w14:paraId="6C657C38" w14:textId="77777777" w:rsidR="00932E83" w:rsidRPr="00932E83" w:rsidRDefault="00932E83" w:rsidP="00932E83">
      <w:pPr>
        <w:pStyle w:val="ARTartustawynprozporzdzenia"/>
      </w:pPr>
      <w:r w:rsidRPr="00932E83">
        <w:t>§ 4. 1. Wysokość należnej wpłaty wnoszonej przez dostawcę usług w zakresie kryptoaktywów na pokrycie kosztów nadzoru za dany rok kalendarzowy, oblicza się według wzoru:</w:t>
      </w:r>
    </w:p>
    <w:p w14:paraId="0C5B64DC" w14:textId="77777777" w:rsidR="00932E83" w:rsidRPr="00932E83" w:rsidRDefault="00417F2B" w:rsidP="00932E83">
      <w:pPr>
        <w:pStyle w:val="WMATFIZCHEMwzrmatfizlubchem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Kd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Pd</m:t>
              </m:r>
            </m:e>
            <m:sub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Sd</m:t>
          </m:r>
        </m:oMath>
      </m:oMathPara>
    </w:p>
    <w:p w14:paraId="293910C8" w14:textId="77777777" w:rsidR="00932E83" w:rsidRPr="00932E83" w:rsidRDefault="00932E83" w:rsidP="00932E83">
      <w:pPr>
        <w:pStyle w:val="NIEARTTEKSTtekstnieartykuowanynppodstprawnarozplubpreambua"/>
      </w:pPr>
      <w:r w:rsidRPr="00932E83">
        <w:lastRenderedPageBreak/>
        <w:t>gdzie:</w:t>
      </w:r>
    </w:p>
    <w:p w14:paraId="0D459FBA" w14:textId="77777777" w:rsidR="00932E83" w:rsidRPr="00932E83" w:rsidRDefault="00417F2B" w:rsidP="00932E83">
      <w:pPr>
        <w:pStyle w:val="PKTpunk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Kd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932E83" w:rsidRPr="00932E83">
        <w:t xml:space="preserve"> –</w:t>
      </w:r>
      <w:r w:rsidR="00932E83" w:rsidRPr="00932E83">
        <w:tab/>
        <w:t>oznacza należną wpłatę, wnoszoną przez dostawców usług w zakresie kryptoaktywów</w:t>
      </w:r>
    </w:p>
    <w:p w14:paraId="430D5898" w14:textId="77777777" w:rsidR="00932E83" w:rsidRPr="00932E83" w:rsidRDefault="00417F2B" w:rsidP="00932E83">
      <w:pPr>
        <w:pStyle w:val="PKTpunk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Pd</m:t>
            </m:r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b>
        </m:sSub>
      </m:oMath>
      <w:r w:rsidR="00932E83" w:rsidRPr="00932E83">
        <w:t>–</w:t>
      </w:r>
      <w:r w:rsidR="00932E83" w:rsidRPr="00932E83">
        <w:tab/>
        <w:t xml:space="preserve">oznacza średnią wartość przychodów ogółem w okresie ostatnich trzech lat obrotowych poprzedzających rok, za który wpłata jest należna, </w:t>
      </w:r>
    </w:p>
    <w:p w14:paraId="720C97A2" w14:textId="77777777" w:rsidR="00932E83" w:rsidRPr="00932E83" w:rsidRDefault="00932E83" w:rsidP="00932E83">
      <w:pPr>
        <w:pStyle w:val="PKTpunkt"/>
      </w:pPr>
      <m:oMath>
        <m:r>
          <w:rPr>
            <w:rFonts w:ascii="Cambria Math" w:hAnsi="Cambria Math"/>
          </w:rPr>
          <m:t>Sd</m:t>
        </m:r>
      </m:oMath>
      <w:r w:rsidRPr="00932E83">
        <w:t xml:space="preserve"> –</w:t>
      </w:r>
      <w:r w:rsidRPr="00932E83">
        <w:tab/>
        <w:t>oznacza stawkę obowiązującą dla ustalenia należnej wpłaty od dostawców usług w zakresie kryptoaktywów,  obliczaną zgodnie z ust. 3.</w:t>
      </w:r>
    </w:p>
    <w:p w14:paraId="68220893" w14:textId="77777777" w:rsidR="00932E83" w:rsidRPr="00932E83" w:rsidRDefault="00932E83" w:rsidP="00932E83">
      <w:pPr>
        <w:pStyle w:val="PKTpunkt"/>
      </w:pPr>
      <w:r w:rsidRPr="00932E83">
        <w:t>2. Jeżeli wysokość należnej wpłaty jest niższa niż równowartość w złotych 500 euro, wysokość należnej wpłaty przyjmuje się w wysokości równowartości w złotych 500 euro.</w:t>
      </w:r>
    </w:p>
    <w:p w14:paraId="7CAFF0CD" w14:textId="77777777" w:rsidR="00932E83" w:rsidRPr="00932E83" w:rsidRDefault="00932E83" w:rsidP="00932E83">
      <w:pPr>
        <w:pStyle w:val="PKTpunkt"/>
      </w:pPr>
      <w:r w:rsidRPr="00932E83">
        <w:t>3. Stawkę (Sd) oblicza się według wzoru:</w:t>
      </w:r>
    </w:p>
    <w:p w14:paraId="04B5DCEA" w14:textId="77777777" w:rsidR="00932E83" w:rsidRPr="00932E83" w:rsidRDefault="00932E83" w:rsidP="00932E83">
      <w:pPr>
        <w:pStyle w:val="WMATFIZCHEMwzrmatfizlubchem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Sd</m:t>
          </m:r>
          <m:r>
            <m:rPr>
              <m:sty m:val="p"/>
            </m:rPr>
            <w:rPr>
              <w:rFonts w:ascii="Cambria Math" w:hAnsi="Cambria Math"/>
              <w:lang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Kd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Pd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-1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lang w:eastAsia="en-US"/>
            </w:rPr>
            <m:t xml:space="preserve"> </m:t>
          </m:r>
          <m:r>
            <w:rPr>
              <w:rFonts w:ascii="Cambria Math" w:hAnsi="Cambria Math"/>
              <w:lang w:eastAsia="en-US"/>
            </w:rPr>
            <m:t>x</m:t>
          </m:r>
          <m:r>
            <m:rPr>
              <m:sty m:val="p"/>
            </m:rPr>
            <w:rPr>
              <w:rFonts w:ascii="Cambria Math" w:hAnsi="Cambria Math"/>
              <w:lang w:eastAsia="en-US"/>
            </w:rPr>
            <m:t xml:space="preserve"> 100%</m:t>
          </m:r>
        </m:oMath>
      </m:oMathPara>
    </w:p>
    <w:p w14:paraId="4FE8BAF9" w14:textId="77777777" w:rsidR="00932E83" w:rsidRPr="00932E83" w:rsidRDefault="00932E83" w:rsidP="00932E83">
      <w:pPr>
        <w:pStyle w:val="NIEARTTEKSTtekstnieartykuowanynppodstprawnarozplubpreambua"/>
      </w:pPr>
      <w:r w:rsidRPr="00932E83">
        <w:t>gdzie:</w:t>
      </w:r>
    </w:p>
    <w:p w14:paraId="2E59C49D" w14:textId="77777777" w:rsidR="00932E83" w:rsidRPr="00932E83" w:rsidRDefault="00932E83" w:rsidP="00932E83">
      <w:pPr>
        <w:pStyle w:val="PKTpunkt"/>
      </w:pPr>
      <m:oMath>
        <m:r>
          <w:rPr>
            <w:rFonts w:ascii="Cambria Math" w:hAnsi="Cambria Math"/>
          </w:rPr>
          <m:t>Kd</m:t>
        </m:r>
      </m:oMath>
      <w:r w:rsidRPr="00932E83">
        <w:t xml:space="preserve"> –</w:t>
      </w:r>
      <w:r w:rsidRPr="00932E83">
        <w:tab/>
        <w:t>oznacza koszty nadzoru netto do pokrycia przez dostawców usług w zakresie kryptoaktywów w danym roku kalendarzowym, obliczanych zgodnie z ust. 4,</w:t>
      </w:r>
    </w:p>
    <w:p w14:paraId="44D892ED" w14:textId="77777777" w:rsidR="00932E83" w:rsidRPr="00932E83" w:rsidRDefault="00417F2B" w:rsidP="00932E83">
      <w:pPr>
        <w:pStyle w:val="PKTpunk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dn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b>
        </m:sSub>
      </m:oMath>
      <w:r w:rsidR="00932E83" w:rsidRPr="00932E83">
        <w:t xml:space="preserve"> –</w:t>
      </w:r>
      <w:r w:rsidR="00932E83" w:rsidRPr="00932E83">
        <w:tab/>
        <w:t>oznacza średnią wartość przychodów ogółem w okresie ostatnich trzech lat obrotowych wszystkich dostawców usług w zakresie kryptoaktywów, którzy prowadzili działalność w ostatnim dniu roku poprzedzającego dany rok kalendarzowy.</w:t>
      </w:r>
    </w:p>
    <w:p w14:paraId="43896A69" w14:textId="77777777" w:rsidR="00932E83" w:rsidRPr="00932E83" w:rsidRDefault="00932E83" w:rsidP="00932E83">
      <w:pPr>
        <w:pStyle w:val="USTustnpkodeksu"/>
      </w:pPr>
      <w:r w:rsidRPr="00932E83">
        <w:t>4. Koszty nadzoru do pokrycia w danym roku kalendarzowym (K) oblicza się według wzoru:</w:t>
      </w:r>
    </w:p>
    <w:p w14:paraId="09C40F98" w14:textId="77777777" w:rsidR="00932E83" w:rsidRPr="00932E83" w:rsidRDefault="00932E83" w:rsidP="00932E83">
      <w:pPr>
        <w:pStyle w:val="WMATFIZCHEMwzrmatfizlubchem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Kd</m:t>
          </m:r>
          <m:r>
            <m:rPr>
              <m:sty m:val="p"/>
            </m:rPr>
            <w:rPr>
              <w:rFonts w:ascii="Cambria Math" w:hAnsi="Cambria Math"/>
              <w:lang w:eastAsia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PKd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en-US"/>
            </w:rPr>
            <m:t>-</m:t>
          </m:r>
          <m:d>
            <m:dPr>
              <m:ctrlPr>
                <w:rPr>
                  <w:rFonts w:ascii="Cambria Math" w:hAnsi="Cambria Math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PKd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-1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WKd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-1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lang w:eastAsia="en-US"/>
            </w:rPr>
            <m:t>-</m:t>
          </m:r>
          <m:sSub>
            <m:sSubPr>
              <m:ctrlPr>
                <w:rPr>
                  <w:rFonts w:ascii="Cambria Math" w:hAnsi="Cambria Math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Od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-1</m:t>
              </m:r>
            </m:sub>
          </m:sSub>
        </m:oMath>
      </m:oMathPara>
    </w:p>
    <w:p w14:paraId="4196FEB4" w14:textId="77777777" w:rsidR="00932E83" w:rsidRPr="00932E83" w:rsidRDefault="00932E83" w:rsidP="00932E83">
      <w:pPr>
        <w:pStyle w:val="NIEARTTEKSTtekstnieartykuowanynppodstprawnarozplubpreambua"/>
      </w:pPr>
      <w:r w:rsidRPr="00932E83">
        <w:t>gdzie:</w:t>
      </w:r>
    </w:p>
    <w:p w14:paraId="58B619FA" w14:textId="77777777" w:rsidR="00932E83" w:rsidRPr="00932E83" w:rsidRDefault="00417F2B" w:rsidP="00932E83">
      <w:pPr>
        <w:pStyle w:val="PKTpunk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PKd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932E83" w:rsidRPr="00932E83">
        <w:t xml:space="preserve"> –</w:t>
      </w:r>
      <w:r w:rsidR="00932E83" w:rsidRPr="00932E83">
        <w:tab/>
        <w:t xml:space="preserve">oznacza planowane koszty nadzoru, o których mowa w art. 19a ust. 2 pkt 1 </w:t>
      </w:r>
      <w:bookmarkStart w:id="1" w:name="_Hlk153872207"/>
      <w:r w:rsidR="00932E83" w:rsidRPr="00932E83">
        <w:t>ustawy</w:t>
      </w:r>
      <w:bookmarkEnd w:id="1"/>
      <w:r w:rsidR="00932E83" w:rsidRPr="00932E83">
        <w:t>, ujęte w planie na dany rok kalendarzowy, w części przypadającej na koszty nadzoru nad dostawcami usług w zakresie kryptoaktywów</w:t>
      </w:r>
    </w:p>
    <w:p w14:paraId="5D0F7CD0" w14:textId="77777777" w:rsidR="00932E83" w:rsidRPr="00932E83" w:rsidRDefault="00417F2B" w:rsidP="00932E83">
      <w:pPr>
        <w:pStyle w:val="PKTpunk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PK</m:t>
            </m:r>
          </m:e>
          <m:sub>
            <m:r>
              <w:rPr>
                <w:rFonts w:ascii="Cambria Math" w:hAnsi="Cambria Math"/>
              </w:rPr>
              <m:t>dn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b>
        </m:sSub>
      </m:oMath>
      <w:r w:rsidR="00932E83" w:rsidRPr="00932E83">
        <w:t>–</w:t>
      </w:r>
      <w:r w:rsidR="00932E83" w:rsidRPr="00932E83">
        <w:tab/>
        <w:t>oznacza planowane koszty nadzoru, o których mowa w art. 19a ust. 2 pkt 1 ustawy, ujęte w planie na poprzedni rok kalendarzowy, w części przypadającej na koszty nadzoru nad dostawcami usług w zakresie kryptoaktywów,</w:t>
      </w:r>
    </w:p>
    <w:p w14:paraId="36340E1B" w14:textId="77777777" w:rsidR="00932E83" w:rsidRPr="00932E83" w:rsidRDefault="00417F2B" w:rsidP="00932E83">
      <w:pPr>
        <w:pStyle w:val="PKTpunk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WKd</m:t>
            </m:r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b>
        </m:sSub>
      </m:oMath>
      <w:r w:rsidR="00932E83" w:rsidRPr="00932E83">
        <w:t>– oznacza wykonane koszty nadzoru, o których mowa w art. 19a ust. 2 pkt 1 ustawy, ujęte w planie na poprzedni rok kalendarzowy, w części przypadającej na koszty nadzoru nad dostawcami usług w zakresie kryptoaktywów</w:t>
      </w:r>
    </w:p>
    <w:p w14:paraId="060DF3C9" w14:textId="77777777" w:rsidR="00932E83" w:rsidRPr="00932E83" w:rsidRDefault="00417F2B" w:rsidP="00932E83">
      <w:pPr>
        <w:pStyle w:val="PKTpunk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Od</m:t>
            </m:r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b>
        </m:sSub>
      </m:oMath>
      <w:r w:rsidR="00932E83" w:rsidRPr="00932E83">
        <w:t>–</w:t>
      </w:r>
      <w:r w:rsidR="00932E83" w:rsidRPr="00932E83">
        <w:tab/>
        <w:t>oznacza wartość wpłat i opłat, o których mowa w art. 80 ust. 1 i 2, wniesionych w poprzednim roku kalendarzowym w części dotyczącej dostawców usług w zakresie kryptoaktywów.</w:t>
      </w:r>
    </w:p>
    <w:p w14:paraId="604E0E8E" w14:textId="77777777" w:rsidR="00932E83" w:rsidRPr="00932E83" w:rsidRDefault="00932E83" w:rsidP="00932E83">
      <w:pPr>
        <w:pStyle w:val="USTustnpkodeksu"/>
        <w:rPr>
          <w:lang w:eastAsia="en-US"/>
        </w:rPr>
      </w:pPr>
      <w:r w:rsidRPr="00932E83">
        <w:t>5. W przypadku gdy wysokość stawki obliczona zgodnie z ust. 3 przekracza 0,5%, do obliczenia należnej wpłaty przyjmuje się stawkę w wysokości 0,5%.</w:t>
      </w:r>
    </w:p>
    <w:p w14:paraId="2D9141B1" w14:textId="77777777" w:rsidR="00932E83" w:rsidRPr="00932E83" w:rsidRDefault="00932E83" w:rsidP="00932E83">
      <w:pPr>
        <w:pStyle w:val="ARTartustawynprozporzdzenia"/>
      </w:pPr>
      <w:r w:rsidRPr="00932E83">
        <w:t xml:space="preserve">§ 5. 1. Wysokość należnej wpłaty wnoszonej przez emitentów tokenów powiązanych z aktywami lub tokenów będących e-pieniądzem na pokrycie kosztów nadzoru za dany rok kalendarzowy, oblicza się według wzoru: </w:t>
      </w:r>
    </w:p>
    <w:p w14:paraId="3891F08D" w14:textId="77777777" w:rsidR="00932E83" w:rsidRPr="00932E83" w:rsidRDefault="00417F2B" w:rsidP="00932E83">
      <w:pPr>
        <w:pStyle w:val="WMATFIZCHEMwzrmatfizlubchem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Ke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Ze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Se</m:t>
          </m:r>
        </m:oMath>
      </m:oMathPara>
    </w:p>
    <w:p w14:paraId="51C6357A" w14:textId="77777777" w:rsidR="00932E83" w:rsidRPr="00932E83" w:rsidRDefault="00932E83" w:rsidP="00932E83">
      <w:pPr>
        <w:pStyle w:val="NIEARTTEKSTtekstnieartykuowanynppodstprawnarozplubpreambua"/>
      </w:pPr>
      <w:r w:rsidRPr="00932E83">
        <w:t xml:space="preserve">gdzie: </w:t>
      </w:r>
    </w:p>
    <w:p w14:paraId="3BFE6482" w14:textId="77777777" w:rsidR="00932E83" w:rsidRPr="00932E83" w:rsidRDefault="00932E83" w:rsidP="00932E83">
      <w:pPr>
        <w:pStyle w:val="PKTpunkt"/>
      </w:pPr>
      <w:r w:rsidRPr="00932E83">
        <w:rPr>
          <w:rFonts w:ascii="Cambria Math" w:hAnsi="Cambria Math" w:cs="Cambria Math"/>
        </w:rPr>
        <w:t>𝐾</w:t>
      </w:r>
      <w:r w:rsidRPr="00932E83">
        <w:t>e</w:t>
      </w:r>
      <w:r w:rsidRPr="00932E83">
        <w:rPr>
          <w:rFonts w:ascii="Cambria Math" w:hAnsi="Cambria Math" w:cs="Cambria Math"/>
        </w:rPr>
        <w:t>𝑛</w:t>
      </w:r>
      <w:r w:rsidRPr="00932E83">
        <w:t xml:space="preserve"> – oznacza należną wpłatę, wnoszoną przez emitentów tokenów powiązanych z aktywami lub tokenów będących e-pieniądzem</w:t>
      </w:r>
    </w:p>
    <w:p w14:paraId="2962AB3D" w14:textId="77777777" w:rsidR="00932E83" w:rsidRPr="00932E83" w:rsidRDefault="00932E83" w:rsidP="00932E83">
      <w:pPr>
        <w:pStyle w:val="PKTpunkt"/>
      </w:pPr>
      <w:r w:rsidRPr="00932E83">
        <w:rPr>
          <w:rFonts w:ascii="Cambria Math" w:hAnsi="Cambria Math" w:cs="Cambria Math"/>
        </w:rPr>
        <w:t>𝑍</w:t>
      </w:r>
      <w:r w:rsidRPr="00932E83">
        <w:t>e</w:t>
      </w:r>
      <w:r w:rsidRPr="00932E83">
        <w:rPr>
          <w:rFonts w:ascii="Cambria Math" w:hAnsi="Cambria Math" w:cs="Cambria Math"/>
        </w:rPr>
        <w:t>𝑛</w:t>
      </w:r>
      <w:r w:rsidRPr="00932E83">
        <w:t xml:space="preserve"> – oznacza ustalaną na dzień 1 stycznia danego roku kalendarzowego średnią arytmetyczną sum zobowiązań finansowych z tytułu wyemitowanych tokenów powiązanych z aktywami lub tokenów będących e-pieniądzem, obliczonych na koniec każdego dnia kalendarzowego w okresie poprzednich dwunastu miesięcy kalendarzowych, </w:t>
      </w:r>
    </w:p>
    <w:p w14:paraId="49501F19" w14:textId="77777777" w:rsidR="00932E83" w:rsidRPr="00932E83" w:rsidRDefault="00932E83" w:rsidP="00932E83">
      <w:pPr>
        <w:pStyle w:val="PKTpunkt"/>
      </w:pPr>
      <w:r w:rsidRPr="00932E83">
        <w:rPr>
          <w:rFonts w:ascii="Cambria Math" w:hAnsi="Cambria Math" w:cs="Cambria Math"/>
        </w:rPr>
        <w:t>𝑆</w:t>
      </w:r>
      <w:r w:rsidRPr="00932E83">
        <w:t xml:space="preserve">e – oznacza stawkę obowiązującą dla ustalenia należnej wpłaty od emitentów tokenów powiązanych z aktywami lub tokenów będących e-pieniądzem, obliczaną zgodnie z ust. 3. </w:t>
      </w:r>
    </w:p>
    <w:p w14:paraId="21C5D70E" w14:textId="77777777" w:rsidR="00932E83" w:rsidRPr="00932E83" w:rsidRDefault="00932E83" w:rsidP="00932E83">
      <w:pPr>
        <w:pStyle w:val="USTustnpkodeksu"/>
      </w:pPr>
      <w:r w:rsidRPr="00932E83">
        <w:t>2. Jeżeli wysokość należnej wpłaty jest niższa niż równowartość w złotych 500 euro, wysokość należnej wpłaty przyjmuje się w wysokości równowartości w złotych 500 euro.</w:t>
      </w:r>
    </w:p>
    <w:p w14:paraId="3DD7E6D0" w14:textId="77777777" w:rsidR="00932E83" w:rsidRPr="00932E83" w:rsidRDefault="00932E83" w:rsidP="00932E83">
      <w:pPr>
        <w:pStyle w:val="USTustnpkodeksu"/>
      </w:pPr>
      <w:r w:rsidRPr="00932E83">
        <w:t>3. Stawkę (Se) oblicza się według wzoru:</w:t>
      </w:r>
    </w:p>
    <w:p w14:paraId="1EBE9248" w14:textId="77777777" w:rsidR="00932E83" w:rsidRPr="00932E83" w:rsidRDefault="00932E83" w:rsidP="00932E83">
      <w:pPr>
        <w:pStyle w:val="WMATFIZCHEMwzrmatfizlubchem"/>
      </w:pPr>
      <m:oMathPara>
        <m:oMath>
          <m:r>
            <w:rPr>
              <w:rFonts w:ascii="Cambria Math" w:hAnsi="Cambria Math"/>
            </w:rPr>
            <m:t>Se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Ke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Pe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 100%</m:t>
          </m:r>
        </m:oMath>
      </m:oMathPara>
    </w:p>
    <w:p w14:paraId="0FFE8A08" w14:textId="77777777" w:rsidR="00932E83" w:rsidRPr="00932E83" w:rsidRDefault="00932E83" w:rsidP="00932E83">
      <w:pPr>
        <w:pStyle w:val="NIEARTTEKSTtekstnieartykuowanynppodstprawnarozplubpreambua"/>
      </w:pPr>
      <w:r w:rsidRPr="00932E83">
        <w:t>gdzie:</w:t>
      </w:r>
    </w:p>
    <w:p w14:paraId="33021F63" w14:textId="77777777" w:rsidR="00932E83" w:rsidRPr="00932E83" w:rsidRDefault="00932E83" w:rsidP="00932E83">
      <w:pPr>
        <w:pStyle w:val="PKTpunkt"/>
      </w:pPr>
      <m:oMath>
        <m:r>
          <w:rPr>
            <w:rFonts w:ascii="Cambria Math" w:hAnsi="Cambria Math"/>
          </w:rPr>
          <m:t>Ke</m:t>
        </m:r>
      </m:oMath>
      <w:r w:rsidRPr="00932E83">
        <w:t xml:space="preserve"> –</w:t>
      </w:r>
      <w:r w:rsidRPr="00932E83">
        <w:tab/>
        <w:t>oznacza koszty nadzoru netto do pokrycia w danym roku kalendarzowym przez emitentów tokenów powiązanych z aktywami lub tokenów będących e-pieniądzem, obliczanych zgodnie z ust. 4,</w:t>
      </w:r>
    </w:p>
    <w:p w14:paraId="737AE191" w14:textId="77777777" w:rsidR="00932E83" w:rsidRPr="00932E83" w:rsidRDefault="00417F2B" w:rsidP="00932E83">
      <w:pPr>
        <w:pStyle w:val="PKTpunk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Pe</m:t>
            </m:r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b>
        </m:sSub>
      </m:oMath>
      <w:r w:rsidR="00932E83" w:rsidRPr="00932E83">
        <w:t xml:space="preserve"> –</w:t>
      </w:r>
      <w:r w:rsidR="00932E83" w:rsidRPr="00932E83">
        <w:tab/>
        <w:t>oznacza ustalaną na dzień 1 stycznia danego roku kalendarzowego sumę średnich arytmetycznych sum zobowiązań finansowych z tytułu wyemitowanych tokenów powiązanych z aktywami lub tokenów będących e-pieniądzem, wszystkich emitentów tokenów powiązanych z aktywami lub tokenów będących e-pieniądzem, którzy prowadzili działalność w ostatnim dniu poprzedniego roku kalendarzowego, obliczonych na koniec każdego dnia kalendarzowego w okresie poprzednich dwunastu miesięcy kalendarzowych.</w:t>
      </w:r>
    </w:p>
    <w:p w14:paraId="4C2C7841" w14:textId="77777777" w:rsidR="00932E83" w:rsidRPr="00932E83" w:rsidRDefault="00932E83" w:rsidP="00932E83">
      <w:pPr>
        <w:pStyle w:val="USTustnpkodeksu"/>
      </w:pPr>
      <w:r w:rsidRPr="00932E83">
        <w:t>4. Koszty nadzoru do pokrycia w danym roku kalendarzowym (K) oblicza się według wzoru:</w:t>
      </w:r>
    </w:p>
    <w:p w14:paraId="610E23C3" w14:textId="77777777" w:rsidR="00932E83" w:rsidRPr="00932E83" w:rsidRDefault="00932E83" w:rsidP="00932E83">
      <w:pPr>
        <w:pStyle w:val="WMATFIZCHEMwzrmatfizlubchem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Ke</m:t>
          </m:r>
          <m:r>
            <m:rPr>
              <m:sty m:val="p"/>
            </m:rPr>
            <w:rPr>
              <w:rFonts w:ascii="Cambria Math" w:hAnsi="Cambria Math"/>
              <w:lang w:eastAsia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PKe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en-US"/>
            </w:rPr>
            <m:t>-</m:t>
          </m:r>
          <m:d>
            <m:dPr>
              <m:ctrlPr>
                <w:rPr>
                  <w:rFonts w:ascii="Cambria Math" w:hAnsi="Cambria Math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PKe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-1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WKe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/>
                    </w:rPr>
                    <m:t>-1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lang w:eastAsia="en-US"/>
            </w:rPr>
            <m:t>-</m:t>
          </m:r>
          <m:sSub>
            <m:sSubPr>
              <m:ctrlPr>
                <w:rPr>
                  <w:rFonts w:ascii="Cambria Math" w:hAnsi="Cambria Math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Oe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-1</m:t>
              </m:r>
            </m:sub>
          </m:sSub>
        </m:oMath>
      </m:oMathPara>
    </w:p>
    <w:p w14:paraId="767EDAFC" w14:textId="77777777" w:rsidR="00932E83" w:rsidRPr="00932E83" w:rsidRDefault="00932E83" w:rsidP="00932E83">
      <w:pPr>
        <w:pStyle w:val="NIEARTTEKSTtekstnieartykuowanynppodstprawnarozplubpreambua"/>
      </w:pPr>
      <w:r w:rsidRPr="00932E83">
        <w:t>gdzie:</w:t>
      </w:r>
    </w:p>
    <w:p w14:paraId="7BA3EC01" w14:textId="77777777" w:rsidR="00932E83" w:rsidRPr="00932E83" w:rsidRDefault="00417F2B" w:rsidP="00932E83">
      <w:pPr>
        <w:pStyle w:val="PKTpunk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PKe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932E83" w:rsidRPr="00932E83">
        <w:t xml:space="preserve"> –</w:t>
      </w:r>
      <w:r w:rsidR="00932E83" w:rsidRPr="00932E83">
        <w:tab/>
        <w:t>oznacza planowane koszty nadzoru, o których mowa w art. 19a ust. 2 pkt 1 ustawy, ujęte w planie na dany rok kalendarzowy, w części przypadającej na koszty nadzoru,</w:t>
      </w:r>
    </w:p>
    <w:p w14:paraId="5AA1E94F" w14:textId="77777777" w:rsidR="00932E83" w:rsidRPr="00932E83" w:rsidRDefault="00417F2B" w:rsidP="00932E83">
      <w:pPr>
        <w:pStyle w:val="PKTpunk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PKe</m:t>
            </m:r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b>
        </m:sSub>
      </m:oMath>
      <w:r w:rsidR="00932E83" w:rsidRPr="00932E83">
        <w:t>–</w:t>
      </w:r>
      <w:r w:rsidR="00932E83" w:rsidRPr="00932E83">
        <w:tab/>
        <w:t>oznacza planowane koszty nadzoru, o których mowa w art. 19a ust. 2 pkt 1 ustawy, ujęte w planie na poprzedni rok kalendarzowy, w części przypadającej na koszty nadzoru,</w:t>
      </w:r>
    </w:p>
    <w:p w14:paraId="10805AC9" w14:textId="77777777" w:rsidR="00932E83" w:rsidRPr="00932E83" w:rsidRDefault="00417F2B" w:rsidP="00932E83">
      <w:pPr>
        <w:pStyle w:val="PKTpunk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WKe</m:t>
            </m:r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b>
        </m:sSub>
      </m:oMath>
      <w:r w:rsidR="00932E83" w:rsidRPr="00932E83">
        <w:t>–</w:t>
      </w:r>
      <w:r w:rsidR="00932E83" w:rsidRPr="00932E83">
        <w:tab/>
        <w:t xml:space="preserve"> oznacza wykonane koszty nadzoru, o których mowa w art. 19a ust. 2 pkt 1 ustawy, ujęte w planie na poprzedni rok kalendarzowy, w części przypadającej na koszty nadzoru,</w:t>
      </w:r>
    </w:p>
    <w:p w14:paraId="272797C1" w14:textId="77777777" w:rsidR="00932E83" w:rsidRPr="00932E83" w:rsidRDefault="00417F2B" w:rsidP="00932E83">
      <w:pPr>
        <w:pStyle w:val="PKTpunk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Oe</m:t>
            </m:r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b>
        </m:sSub>
      </m:oMath>
      <w:r w:rsidR="00932E83" w:rsidRPr="00932E83">
        <w:t>–</w:t>
      </w:r>
      <w:r w:rsidR="00932E83" w:rsidRPr="00932E83">
        <w:tab/>
        <w:t>oznacza wartość wpłat i opłat, o których mowa w art. 80 ust. 1 i 2, wniesionych w poprzednim roku kalendarzowym w części dotyczącej emitentów tokenów powiązanych z aktywami lub tokenów będących e-pieniądzem.</w:t>
      </w:r>
    </w:p>
    <w:p w14:paraId="34F58C93" w14:textId="77777777" w:rsidR="00932E83" w:rsidRPr="00932E83" w:rsidRDefault="00932E83" w:rsidP="00932E83">
      <w:pPr>
        <w:pStyle w:val="ARTartustawynprozporzdzenia"/>
      </w:pPr>
      <w:r w:rsidRPr="00932E83">
        <w:t>§ 6. Do dnia 31 października każdego roku kalendarzowego Przewodniczący Komisji podaje do publicznej wiadomości, w drodze komunikatu ogłaszanego w Dzienniku Urzędowym Komisji Nadzoru Finansowego:</w:t>
      </w:r>
    </w:p>
    <w:p w14:paraId="4B1EA57D" w14:textId="77777777" w:rsidR="00932E83" w:rsidRPr="00932E83" w:rsidRDefault="00932E83" w:rsidP="00932E83">
      <w:pPr>
        <w:pStyle w:val="PKTpunkt"/>
      </w:pPr>
      <w:r w:rsidRPr="00932E83">
        <w:t>1)</w:t>
      </w:r>
      <w:r w:rsidRPr="00932E83">
        <w:tab/>
        <w:t>wysokość stawek, o których mowa w § 4 ust. 2 oraz § 5 ust. 2 obowiązujących w danym roku kalendarzowym;</w:t>
      </w:r>
    </w:p>
    <w:p w14:paraId="71BF8E30" w14:textId="77777777" w:rsidR="00932E83" w:rsidRPr="00932E83" w:rsidRDefault="00932E83" w:rsidP="00932E83">
      <w:pPr>
        <w:pStyle w:val="PKTpunkt"/>
      </w:pPr>
      <w:r w:rsidRPr="00932E83">
        <w:t>2)</w:t>
      </w:r>
      <w:r w:rsidRPr="00932E83">
        <w:tab/>
        <w:t>wysokość kosztów nadzoru do pokrycia w danym roku kalendarzowym, ze wskazaniem wartości poszczególnych zmiennych przyjętych do ich ustalenia zgodnie z § 4 ust. 4 oraz § 5 ust. 4.</w:t>
      </w:r>
    </w:p>
    <w:p w14:paraId="5CBEC936" w14:textId="77777777" w:rsidR="00932E83" w:rsidRPr="00932E83" w:rsidRDefault="00932E83" w:rsidP="00932E83">
      <w:pPr>
        <w:pStyle w:val="ARTartustawynprozporzdzenia"/>
      </w:pPr>
      <w:r w:rsidRPr="00932E83">
        <w:t>§ 7. 1. Dostawca usług w zakresie kryptoaktywów oraz emitent tokenów powiązanych z aktywami lub tokenów będących epieniądzem uiszcza należną wpłatę do dnia 30 listopada danego roku kalendarzowego na rachunek bankowy Urzędu Komisji.</w:t>
      </w:r>
    </w:p>
    <w:p w14:paraId="1E3A0D89" w14:textId="77777777" w:rsidR="00932E83" w:rsidRPr="00932E83" w:rsidRDefault="00932E83" w:rsidP="00932E83">
      <w:pPr>
        <w:pStyle w:val="USTustnpkodeksu"/>
      </w:pPr>
      <w:r w:rsidRPr="00932E83">
        <w:t>2. Dostawca usług w zakresie kryptoaktywów oraz emitent tokenów powiązanych z aktywami lub tokenów będących epieniądzem rozpoczynający działalność wnosi pierwszą należną wpłatę za rok kalendarzowy następujący po roku, w którym rozpoczął działalność.</w:t>
      </w:r>
    </w:p>
    <w:p w14:paraId="34261058" w14:textId="77777777" w:rsidR="00932E83" w:rsidRPr="00932E83" w:rsidRDefault="00932E83" w:rsidP="00932E83">
      <w:pPr>
        <w:pStyle w:val="ARTartustawynprozporzdzenia"/>
      </w:pPr>
      <w:r w:rsidRPr="00932E83">
        <w:t xml:space="preserve">§ 8. 1. Deklaracja o wysokości należnej wpłaty jest przekazywana w postaci dokumentu elektronicznego, za pośrednictwem systemu teleinformatycznego udostępnionego nieodpłatnie na stronie internetowej Urzędu Komisji, w terminie nie dłuższym niż 3 dni od dnia upływu terminu, o którym mowa w § 7 ust. 1. </w:t>
      </w:r>
    </w:p>
    <w:p w14:paraId="334DD610" w14:textId="77777777" w:rsidR="00932E83" w:rsidRPr="00932E83" w:rsidRDefault="00932E83" w:rsidP="00932E83">
      <w:pPr>
        <w:pStyle w:val="ARTartustawynprozporzdzenia"/>
        <w:rPr>
          <w:lang w:eastAsia="en-US"/>
        </w:rPr>
      </w:pPr>
      <w:r w:rsidRPr="00932E83">
        <w:rPr>
          <w:lang w:eastAsia="en-US"/>
        </w:rPr>
        <w:t>§ 9. Rozporządzenie wchodzi w życie po upływie 14 dni od dnia ogłoszenia.</w:t>
      </w:r>
    </w:p>
    <w:p w14:paraId="4C19F256" w14:textId="77777777"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AD901" w14:textId="77777777" w:rsidR="00492E53" w:rsidRDefault="00492E53">
      <w:r>
        <w:separator/>
      </w:r>
    </w:p>
  </w:endnote>
  <w:endnote w:type="continuationSeparator" w:id="0">
    <w:p w14:paraId="2EC5FA67" w14:textId="77777777" w:rsidR="00492E53" w:rsidRDefault="0049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60609" w14:textId="77777777" w:rsidR="00492E53" w:rsidRDefault="00492E53">
      <w:r>
        <w:separator/>
      </w:r>
    </w:p>
  </w:footnote>
  <w:footnote w:type="continuationSeparator" w:id="0">
    <w:p w14:paraId="1080D432" w14:textId="77777777" w:rsidR="00492E53" w:rsidRDefault="0049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363CD" w14:textId="77777777" w:rsidR="00CC3E3D" w:rsidRPr="00B371CC" w:rsidRDefault="00CC3E3D" w:rsidP="00B371CC">
    <w:pPr>
      <w:pStyle w:val="Header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181D22"/>
    <w:multiLevelType w:val="hybridMultilevel"/>
    <w:tmpl w:val="BEEE5352"/>
    <w:lvl w:ilvl="0" w:tplc="2D92C9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F0F51F1"/>
    <w:multiLevelType w:val="hybridMultilevel"/>
    <w:tmpl w:val="3232F84C"/>
    <w:lvl w:ilvl="0" w:tplc="02A6F8B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5"/>
  </w:num>
  <w:num w:numId="12">
    <w:abstractNumId w:val="10"/>
  </w:num>
  <w:num w:numId="13">
    <w:abstractNumId w:val="16"/>
  </w:num>
  <w:num w:numId="14">
    <w:abstractNumId w:val="28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7"/>
  </w:num>
  <w:num w:numId="29">
    <w:abstractNumId w:val="38"/>
  </w:num>
  <w:num w:numId="30">
    <w:abstractNumId w:val="34"/>
  </w:num>
  <w:num w:numId="31">
    <w:abstractNumId w:val="20"/>
  </w:num>
  <w:num w:numId="32">
    <w:abstractNumId w:val="11"/>
  </w:num>
  <w:num w:numId="33">
    <w:abstractNumId w:val="32"/>
  </w:num>
  <w:num w:numId="34">
    <w:abstractNumId w:val="21"/>
  </w:num>
  <w:num w:numId="35">
    <w:abstractNumId w:val="18"/>
  </w:num>
  <w:num w:numId="36">
    <w:abstractNumId w:val="23"/>
  </w:num>
  <w:num w:numId="37">
    <w:abstractNumId w:val="29"/>
  </w:num>
  <w:num w:numId="38">
    <w:abstractNumId w:val="25"/>
  </w:num>
  <w:num w:numId="39">
    <w:abstractNumId w:val="14"/>
  </w:num>
  <w:num w:numId="40">
    <w:abstractNumId w:val="31"/>
  </w:num>
  <w:num w:numId="41">
    <w:abstractNumId w:val="30"/>
  </w:num>
  <w:num w:numId="42">
    <w:abstractNumId w:val="22"/>
  </w:num>
  <w:num w:numId="43">
    <w:abstractNumId w:val="36"/>
  </w:num>
  <w:num w:numId="44">
    <w:abstractNumId w:val="13"/>
  </w:num>
  <w:num w:numId="45">
    <w:abstractNumId w:val="1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F3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17F2B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2E53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E83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20F3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EE795D"/>
  <w15:docId w15:val="{D6CE84D5-61B1-4618-970B-E8FE91D6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FootnoteReference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HeaderChar">
    <w:name w:val="Header Char"/>
    <w:link w:val="Header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FooterChar">
    <w:name w:val="Footer Char"/>
    <w:link w:val="Footer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Heading1Char">
    <w:name w:val="Heading 1 Char"/>
    <w:basedOn w:val="DefaultParagraphFont"/>
    <w:link w:val="Heading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oSpacing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FootnoteText">
    <w:name w:val="footnote text"/>
    <w:basedOn w:val="Normal"/>
    <w:link w:val="FootnoteTextChar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CommentReference">
    <w:name w:val="annotation reference"/>
    <w:basedOn w:val="DefaultParagraphFont"/>
    <w:uiPriority w:val="99"/>
    <w:semiHidden/>
    <w:rsid w:val="00023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4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3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efaultParagraphFont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efaultParagraphFont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efaultParagraphFont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efaultParagraphFont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efaultParagraphFont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efaultParagraphFont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efaultParagraphFont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efaultParagraphFont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efaultParagraphFont"/>
    <w:uiPriority w:val="1"/>
    <w:qFormat/>
    <w:rsid w:val="006A748A"/>
    <w:rPr>
      <w:b/>
    </w:rPr>
  </w:style>
  <w:style w:type="character" w:customStyle="1" w:styleId="Kkursywa">
    <w:name w:val="_K_ – kursywa"/>
    <w:basedOn w:val="DefaultParagraphFont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efaultParagraphFont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efaultParagraphFont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efaultParagraphFont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efaultParagraphFont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leGrid">
    <w:name w:val="Table Grid"/>
    <w:basedOn w:val="TableNormal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leElegant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leGrid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PlaceholderText">
    <w:name w:val="Placeholder Text"/>
    <w:basedOn w:val="DefaultParagraphFont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TC\AppData\Local\Temp\ezdpuw\20241212095916637\Projekt%20rozporz&#261;dzenia%20-%20art.%2084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F97CA0-67DE-4D54-AA4C-0A184752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art. 84</Template>
  <TotalTime>0</TotalTime>
  <Pages>3</Pages>
  <Words>1186</Words>
  <Characters>6765</Characters>
  <Application>Microsoft Office Word</Application>
  <DocSecurity>4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Tomczyk Magdalena</dc:creator>
  <cp:lastModifiedBy>word2</cp:lastModifiedBy>
  <cp:revision>2</cp:revision>
  <cp:lastPrinted>2012-04-23T06:39:00Z</cp:lastPrinted>
  <dcterms:created xsi:type="dcterms:W3CDTF">2025-01-08T18:24:00Z</dcterms:created>
  <dcterms:modified xsi:type="dcterms:W3CDTF">2025-01-08T18:24:00Z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UxC4dwLulzfINJ8nQH+xvX5LNGipWa4BRSZhPgxsCvnbMeSw4nT1picJCTO7o/Kp7sENx1R9vBnazfp1MmHANg==</vt:lpwstr>
  </property>
  <property fmtid="{D5CDD505-2E9C-101B-9397-08002B2CF9AE}" pid="6" name="MFClassificationDate">
    <vt:lpwstr>2024-12-12T09:59:36.8075424+01:00</vt:lpwstr>
  </property>
  <property fmtid="{D5CDD505-2E9C-101B-9397-08002B2CF9AE}" pid="7" name="MFClassifiedBySID">
    <vt:lpwstr>UxC4dwLulzfINJ8nQH+xvX5LNGipWa4BRSZhPgxsCvm42mrIC/DSDv0ggS+FjUN/2v1BBotkLlY5aAiEhoi6uRweO63KbQlxVEx4gix67LGc4gedtZdK7Hz509wWu4qD</vt:lpwstr>
  </property>
  <property fmtid="{D5CDD505-2E9C-101B-9397-08002B2CF9AE}" pid="8" name="MFGRNItemId">
    <vt:lpwstr>GRN-8a1a96e2-1024-4028-811a-ea6b7cb3c9ec</vt:lpwstr>
  </property>
  <property fmtid="{D5CDD505-2E9C-101B-9397-08002B2CF9AE}" pid="9" name="MFHash">
    <vt:lpwstr>eKaJ8ySgZtasBKANDIALSzxb3GXsAdRAVcDTO4oxUjc=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